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163A49" w14:textId="66EBDC2E" w:rsidR="009F368E" w:rsidRPr="009F368E" w:rsidRDefault="009F368E" w:rsidP="00A952E3">
      <w:pPr>
        <w:rPr>
          <w:b/>
        </w:rPr>
      </w:pPr>
      <w:r w:rsidRPr="009F368E">
        <w:rPr>
          <w:b/>
        </w:rPr>
        <w:t>Methods</w:t>
      </w:r>
    </w:p>
    <w:p w14:paraId="016ABD5C" w14:textId="666BE416" w:rsidR="009F368E" w:rsidRPr="009F368E" w:rsidRDefault="009F368E" w:rsidP="00A952E3">
      <w:pPr>
        <w:rPr>
          <w:b/>
          <w:i/>
        </w:rPr>
      </w:pPr>
      <w:r w:rsidRPr="009F368E">
        <w:rPr>
          <w:b/>
          <w:i/>
        </w:rPr>
        <w:t>Maximum covariance analysis</w:t>
      </w:r>
    </w:p>
    <w:p w14:paraId="3DF07137" w14:textId="2198698E" w:rsidR="00A952E3" w:rsidRDefault="00A952E3" w:rsidP="00A952E3">
      <w:r w:rsidRPr="007418E6">
        <w:t xml:space="preserve">The question of whether </w:t>
      </w:r>
      <w:r>
        <w:t>E</w:t>
      </w:r>
      <w:r w:rsidRPr="007418E6">
        <w:t xml:space="preserve">KE </w:t>
      </w:r>
      <w:r>
        <w:t xml:space="preserve">co-vary with </w:t>
      </w:r>
      <w:r w:rsidRPr="007418E6">
        <w:t xml:space="preserve">mean event intensity on a per pixel basis was addressed by subjecting </w:t>
      </w:r>
      <w:r>
        <w:t>EKE</w:t>
      </w:r>
      <w:r w:rsidRPr="007418E6">
        <w:t xml:space="preserve"> and </w:t>
      </w:r>
      <w:r>
        <w:t>exceedance (</w:t>
      </w:r>
      <w:r w:rsidRPr="00C25650">
        <w:rPr>
          <w:i/>
          <w:iCs/>
        </w:rPr>
        <w:t>i.e.</w:t>
      </w:r>
      <w:r>
        <w:t>, SST exceeding the 90th percentile)</w:t>
      </w:r>
      <w:r w:rsidRPr="007418E6">
        <w:t xml:space="preserve"> to a </w:t>
      </w:r>
      <w:r>
        <w:t>5</w:t>
      </w:r>
      <w:r w:rsidRPr="007418E6">
        <w:t xml:space="preserve">-day wide moving average smoother over the period </w:t>
      </w:r>
      <w:r w:rsidRPr="003B732B">
        <w:t>2006-01-01</w:t>
      </w:r>
      <w:r w:rsidRPr="007418E6">
        <w:t xml:space="preserve"> to </w:t>
      </w:r>
      <w:bookmarkStart w:id="0" w:name="_GoBack"/>
      <w:r w:rsidRPr="003B732B">
        <w:t>2015-12-31</w:t>
      </w:r>
      <w:bookmarkEnd w:id="0"/>
      <w:r w:rsidRPr="007418E6">
        <w:t xml:space="preserve">, and </w:t>
      </w:r>
      <w:r>
        <w:t>applying a Maximum Covariance Analysis (MCA) to a region that includes the mean intensity zones of influence</w:t>
      </w:r>
      <w:r w:rsidRPr="007418E6">
        <w:t xml:space="preserve">. </w:t>
      </w:r>
      <w:r>
        <w:t xml:space="preserve">This dimension reduction technique allows us to </w:t>
      </w:r>
      <w:r w:rsidRPr="004C1B9A">
        <w:t xml:space="preserve">discriminate </w:t>
      </w:r>
      <w:r>
        <w:t xml:space="preserve">amongst </w:t>
      </w:r>
      <w:r w:rsidRPr="004C1B9A">
        <w:t>superimposed coupled patterns</w:t>
      </w:r>
      <w:r>
        <w:t xml:space="preserve"> and might miss less dominant modes of </w:t>
      </w:r>
      <w:proofErr w:type="spellStart"/>
      <w:r>
        <w:t>covariability</w:t>
      </w:r>
      <w:proofErr w:type="spellEnd"/>
      <w:r>
        <w:t>, specifically those that might result from the infrequent meander intrusion into the mean intensity zones of influence</w:t>
      </w:r>
      <w:r w:rsidRPr="004C1B9A">
        <w:t xml:space="preserve">. </w:t>
      </w:r>
      <w:r>
        <w:t xml:space="preserve">MCA is a singular value decomposition (SVD) applied to a cross-covariance matrix between the EKE and exceedance time series fields, and it projects the data onto a reduced number of orthogonal leading modes of </w:t>
      </w:r>
      <w:r w:rsidRPr="004C1B9A">
        <w:t xml:space="preserve">highly </w:t>
      </w:r>
      <w:r>
        <w:t>covarying</w:t>
      </w:r>
      <w:r w:rsidRPr="004C1B9A">
        <w:t xml:space="preserve"> patterns ranked according to their contributions to the total </w:t>
      </w:r>
      <w:r>
        <w:t>co</w:t>
      </w:r>
      <w:r w:rsidRPr="004C1B9A">
        <w:t>variance explained.</w:t>
      </w:r>
      <w:r>
        <w:t xml:space="preserve"> The outcome of the MCA includes the spatial structure of the two coupled spatial fields, as well as the squared fraction of covariance (SFC), which is the squared singular values, or eigenvalues, that indicate the fraction of the overall variance explained by each respective MCA mode (</w:t>
      </w:r>
      <w:commentRangeStart w:id="1"/>
      <w:r>
        <w:t>ref.</w:t>
      </w:r>
      <w:commentRangeEnd w:id="1"/>
      <w:r>
        <w:rPr>
          <w:rStyle w:val="CommentReference"/>
          <w:rFonts w:eastAsia="Times New Roman"/>
        </w:rPr>
        <w:commentReference w:id="1"/>
      </w:r>
      <w:r>
        <w:t xml:space="preserve">). The Pearson correlation between the time series of expansion coefficients from the two fields indicate the strength of association between the coupled modes—we interpret EKE as the forcing variable and </w:t>
      </w:r>
      <w:r w:rsidR="004E3742">
        <w:t xml:space="preserve">SST </w:t>
      </w:r>
      <w:r>
        <w:t>exceedance as the response variable. As an additional assessment of the contribution of</w:t>
      </w:r>
      <w:r w:rsidRPr="007418E6">
        <w:t xml:space="preserve"> WBC meanders and rings </w:t>
      </w:r>
      <w:r>
        <w:t xml:space="preserve">to the </w:t>
      </w:r>
      <w:r w:rsidRPr="007418E6">
        <w:t xml:space="preserve">transport </w:t>
      </w:r>
      <w:r>
        <w:t xml:space="preserve">of </w:t>
      </w:r>
      <w:r w:rsidRPr="007418E6">
        <w:t xml:space="preserve">warm water into the ocean regions flanking the field dominated by high EKE, we created animations of daily geostrophic velocities and the occurrence of MHWs. These MHWs (represented by their mean intensity metric) had been subjected to a 5-day moving average smoother post-detection to ensure that only events lasting five days or longer were flagged as heatwave events. These animations were </w:t>
      </w:r>
      <w:r>
        <w:t>visually</w:t>
      </w:r>
      <w:r w:rsidRPr="007418E6">
        <w:t xml:space="preserve"> examined </w:t>
      </w:r>
      <w:r>
        <w:t xml:space="preserve">and confirmed the </w:t>
      </w:r>
      <w:r w:rsidRPr="007418E6">
        <w:t>co-</w:t>
      </w:r>
      <w:r>
        <w:t>variation</w:t>
      </w:r>
      <w:r w:rsidRPr="007418E6">
        <w:t xml:space="preserve"> of meanders and thermal events.</w:t>
      </w:r>
    </w:p>
    <w:p w14:paraId="389389ED" w14:textId="0F1F1E25" w:rsidR="004E3742" w:rsidRDefault="004E3742" w:rsidP="00A952E3"/>
    <w:p w14:paraId="37D42B23" w14:textId="3A6DC570" w:rsidR="004E3742" w:rsidRPr="004E3742" w:rsidRDefault="004E3742" w:rsidP="00A952E3">
      <w:pPr>
        <w:rPr>
          <w:b/>
        </w:rPr>
      </w:pPr>
      <w:r w:rsidRPr="004E3742">
        <w:rPr>
          <w:b/>
        </w:rPr>
        <w:t>Results</w:t>
      </w:r>
    </w:p>
    <w:p w14:paraId="04594B77" w14:textId="7697D2A1" w:rsidR="00423800" w:rsidRDefault="007E08A5" w:rsidP="00A952E3">
      <w:sdt>
        <w:sdtPr>
          <w:alias w:val="Follow Up (Preview)"/>
          <w:tag w:val="__MSFT__IntelligentPlaceholder"/>
          <w:id w:val="1070000537"/>
          <w:placeholder>
            <w:docPart w:val="DefaultPlaceholder_-1854013439"/>
          </w:placeholder>
          <w15:appearance w15:val="tags"/>
        </w:sdtPr>
        <w:sdtEndPr/>
        <w:sdtContent>
          <w:r w:rsidR="0031777F">
            <w:rPr>
              <w:rStyle w:val="PlaceholderText"/>
              <w:color w:val="auto"/>
            </w:rPr>
            <w:t>The hypothesis tested here is that it is the meandering that periodically extends into the SST zone of influence that causes the MHW to form there. This is highlighted clearly in the animations. With the MCA I expect coupled patterns of covariance between EKE and SST exceedance present within the SST zone of influence, but less so outside of it. This is the kind of sign I searched for the in figures below, but finding such patterns seems somewhat subjective and this is also a criticism for MCAs…</w:t>
          </w:r>
        </w:sdtContent>
      </w:sdt>
      <w:r w:rsidR="0031777F">
        <w:t xml:space="preserve"> </w:t>
      </w:r>
    </w:p>
    <w:p w14:paraId="203C2EE2" w14:textId="01EB7A0E" w:rsidR="004E3742" w:rsidRDefault="009036E0" w:rsidP="00A952E3">
      <w:r>
        <w:t xml:space="preserve">The outcome of the MCA between EKE and SST exceedance over the period </w:t>
      </w:r>
      <w:r w:rsidRPr="003B732B">
        <w:t>2006-01-01</w:t>
      </w:r>
      <w:r w:rsidRPr="007418E6">
        <w:t xml:space="preserve"> to </w:t>
      </w:r>
      <w:r w:rsidRPr="003B732B">
        <w:t>2015-12-31</w:t>
      </w:r>
      <w:r>
        <w:t xml:space="preserve"> is presented in Fig</w:t>
      </w:r>
      <w:r w:rsidR="00167518">
        <w:t>. 1-5</w:t>
      </w:r>
      <w:r w:rsidR="00A66C2B">
        <w:t>, wh</w:t>
      </w:r>
      <w:r w:rsidR="0031777F">
        <w:t>ich</w:t>
      </w:r>
      <w:r w:rsidR="00A66C2B">
        <w:t xml:space="preserve"> show the three leading coupled modes of </w:t>
      </w:r>
      <w:proofErr w:type="spellStart"/>
      <w:r w:rsidR="00A66C2B">
        <w:t>covariability</w:t>
      </w:r>
      <w:proofErr w:type="spellEnd"/>
      <w:r w:rsidR="00A66C2B">
        <w:t xml:space="preserve">. In all (?) WBCs, EKE that could relate to the meander influence </w:t>
      </w:r>
      <w:r w:rsidR="00684A36">
        <w:t>appears to be</w:t>
      </w:r>
      <w:r w:rsidR="00A66C2B">
        <w:t xml:space="preserve"> present in the second </w:t>
      </w:r>
      <w:r w:rsidR="00684A36">
        <w:t xml:space="preserve">(EAC, </w:t>
      </w:r>
      <w:sdt>
        <w:sdtPr>
          <w:alias w:val="Follow Up (Preview)"/>
          <w:tag w:val="__MSFT__IntelligentPlaceholder"/>
          <w:id w:val="1826855420"/>
          <w:placeholder>
            <w:docPart w:val="DefaultPlaceholder_-1854013439"/>
          </w:placeholder>
          <w15:appearance w15:val="tags"/>
        </w:sdtPr>
        <w:sdtEndPr/>
        <w:sdtContent>
          <w:r w:rsidR="00684A36">
            <w:rPr>
              <w:rStyle w:val="PlaceholderText"/>
              <w:color w:val="auto"/>
            </w:rPr>
            <w:t>check which other currents fit here</w:t>
          </w:r>
        </w:sdtContent>
      </w:sdt>
      <w:r w:rsidR="00684A36">
        <w:t xml:space="preserve">) </w:t>
      </w:r>
      <w:r w:rsidR="00A66C2B">
        <w:t xml:space="preserve">or third </w:t>
      </w:r>
      <w:r w:rsidR="00684A36">
        <w:t xml:space="preserve">(AC, </w:t>
      </w:r>
      <w:sdt>
        <w:sdtPr>
          <w:alias w:val="Follow Up (Preview)"/>
          <w:tag w:val="__MSFT__IntelligentPlaceholder"/>
          <w:id w:val="1615949150"/>
          <w:placeholder>
            <w:docPart w:val="DefaultPlaceholder_-1854013439"/>
          </w:placeholder>
          <w15:appearance w15:val="tags"/>
        </w:sdtPr>
        <w:sdtEndPr/>
        <w:sdtContent>
          <w:r w:rsidR="00684A36">
            <w:rPr>
              <w:rStyle w:val="PlaceholderText"/>
              <w:color w:val="auto"/>
            </w:rPr>
            <w:t>check which other currents</w:t>
          </w:r>
        </w:sdtContent>
      </w:sdt>
      <w:r w:rsidR="00684A36">
        <w:t xml:space="preserve">) </w:t>
      </w:r>
      <w:r w:rsidR="00A66C2B">
        <w:t>modes, which in all instances capture only a small fraction of the total covariance explained (</w:t>
      </w:r>
      <w:r w:rsidR="00A66C2B" w:rsidRPr="00A66C2B">
        <w:rPr>
          <w:i/>
        </w:rPr>
        <w:t>i.e.</w:t>
      </w:r>
      <w:r w:rsidR="00A66C2B">
        <w:t xml:space="preserve"> SFC ≤</w:t>
      </w:r>
      <w:r w:rsidR="00423800">
        <w:t xml:space="preserve"> </w:t>
      </w:r>
      <w:r w:rsidR="00A66C2B">
        <w:t xml:space="preserve">10%). It is </w:t>
      </w:r>
      <w:r w:rsidR="00684A36">
        <w:t xml:space="preserve">not unexpected or </w:t>
      </w:r>
      <w:r w:rsidR="00A66C2B">
        <w:t xml:space="preserve">unreasonable that meandering as an influence of SST exceedance </w:t>
      </w:r>
      <w:r w:rsidR="00684A36">
        <w:t xml:space="preserve">should </w:t>
      </w:r>
      <w:r w:rsidR="00A66C2B">
        <w:t>account</w:t>
      </w:r>
      <w:r w:rsidR="00684A36">
        <w:t xml:space="preserve"> for</w:t>
      </w:r>
      <w:r w:rsidR="00A66C2B">
        <w:t xml:space="preserve"> such small amounts of SFC since the resultant extreme thermal events occur only very infrequently—single, daily SST values that exceed the 90th percentile will comprise 10% of all SST value</w:t>
      </w:r>
      <w:r w:rsidR="00684A36">
        <w:t>s</w:t>
      </w:r>
      <w:r w:rsidR="00A66C2B">
        <w:t xml:space="preserve"> in the time series, and when the condition for a heatwave </w:t>
      </w:r>
      <w:r w:rsidR="00684A36">
        <w:t xml:space="preserve">to last </w:t>
      </w:r>
      <w:r w:rsidR="00A66C2B">
        <w:t>≥</w:t>
      </w:r>
      <w:r w:rsidR="00423800">
        <w:t xml:space="preserve"> </w:t>
      </w:r>
      <w:r w:rsidR="00684A36">
        <w:t>5 days is added, this proportion drops even lower.</w:t>
      </w:r>
    </w:p>
    <w:p w14:paraId="69DB2115" w14:textId="169123F5" w:rsidR="00AC7D24" w:rsidRDefault="00AC7D24" w:rsidP="00A952E3"/>
    <w:p w14:paraId="591D351C" w14:textId="18CBAFD1" w:rsidR="00AC7D24" w:rsidRDefault="00AC7D24" w:rsidP="00A952E3">
      <w:r>
        <w:t>For the East Australian Current (Fig. 3)</w:t>
      </w:r>
      <w:r w:rsidR="00476D37">
        <w:t>, and possible also the Gulf Stream (Fig. 4)</w:t>
      </w:r>
      <w:r>
        <w:t xml:space="preserve"> it seems </w:t>
      </w:r>
      <w:r w:rsidR="00476D37">
        <w:t>plausible</w:t>
      </w:r>
      <w:r>
        <w:t xml:space="preserve"> that Mode 2, which accounts for 9.0% of the squared covariance</w:t>
      </w:r>
      <w:r w:rsidR="00476D37">
        <w:t xml:space="preserve"> in both currents</w:t>
      </w:r>
      <w:r>
        <w:t>, captures m</w:t>
      </w:r>
      <w:r w:rsidR="00476D37">
        <w:t>uch</w:t>
      </w:r>
      <w:r>
        <w:t xml:space="preserve"> of the </w:t>
      </w:r>
      <w:proofErr w:type="spellStart"/>
      <w:r>
        <w:t>covariability</w:t>
      </w:r>
      <w:proofErr w:type="spellEnd"/>
      <w:r>
        <w:t xml:space="preserve"> in EKE and SST exceedance within the MHW mean intensity zone of influence. The eigenvalues of the two time series are highly correlated, with a Pearson </w:t>
      </w:r>
      <w:r w:rsidRPr="00AC7D24">
        <w:rPr>
          <w:i/>
        </w:rPr>
        <w:t>R</w:t>
      </w:r>
      <w:r>
        <w:t>-value</w:t>
      </w:r>
      <w:r w:rsidR="00476D37">
        <w:t>s</w:t>
      </w:r>
      <w:r>
        <w:t xml:space="preserve"> of 0.9</w:t>
      </w:r>
      <w:r w:rsidR="00476D37">
        <w:t xml:space="preserve"> and 0.6 for the East Australian Current and Gulf Streams, respectively</w:t>
      </w:r>
      <w:r>
        <w:t>.</w:t>
      </w:r>
      <w:r w:rsidR="00476D37">
        <w:t xml:space="preserve"> </w:t>
      </w:r>
    </w:p>
    <w:p w14:paraId="346B86DC" w14:textId="1C217F2A" w:rsidR="00423800" w:rsidRDefault="00423800">
      <w:r>
        <w:br w:type="page"/>
      </w:r>
    </w:p>
    <w:p w14:paraId="16F0787B" w14:textId="3C9B47AA" w:rsidR="00A952E3" w:rsidRPr="00A952E3" w:rsidRDefault="006E57C6">
      <w:pPr>
        <w:rPr>
          <w:rFonts w:ascii="Minion Pro" w:hAnsi="Minion Pro"/>
          <w:szCs w:val="20"/>
        </w:rPr>
      </w:pPr>
      <w:r>
        <w:rPr>
          <w:rFonts w:ascii="Minion Pro" w:hAnsi="Minion Pro"/>
          <w:noProof/>
          <w:szCs w:val="20"/>
        </w:rPr>
        <w:lastRenderedPageBreak/>
        <w:drawing>
          <wp:inline distT="0" distB="0" distL="0" distR="0" wp14:anchorId="2C191036" wp14:editId="3A2F35CC">
            <wp:extent cx="2700000" cy="15516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MCA_mode1_full.pdf"/>
                    <pic:cNvPicPr/>
                  </pic:nvPicPr>
                  <pic:blipFill>
                    <a:blip r:embed="rId7">
                      <a:extLst>
                        <a:ext uri="{28A0092B-C50C-407E-A947-70E740481C1C}">
                          <a14:useLocalDpi xmlns:a14="http://schemas.microsoft.com/office/drawing/2010/main" val="0"/>
                        </a:ext>
                      </a:extLst>
                    </a:blip>
                    <a:stretch>
                      <a:fillRect/>
                    </a:stretch>
                  </pic:blipFill>
                  <pic:spPr>
                    <a:xfrm>
                      <a:off x="0" y="0"/>
                      <a:ext cx="2700000" cy="1551600"/>
                    </a:xfrm>
                    <a:prstGeom prst="rect">
                      <a:avLst/>
                    </a:prstGeom>
                  </pic:spPr>
                </pic:pic>
              </a:graphicData>
            </a:graphic>
          </wp:inline>
        </w:drawing>
      </w:r>
      <w:r>
        <w:rPr>
          <w:rFonts w:ascii="Minion Pro" w:hAnsi="Minion Pro"/>
          <w:noProof/>
          <w:szCs w:val="20"/>
        </w:rPr>
        <w:drawing>
          <wp:inline distT="0" distB="0" distL="0" distR="0" wp14:anchorId="1DC631AF" wp14:editId="5C3CC102">
            <wp:extent cx="2700000" cy="15516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_MCA_mode2_full.pdf"/>
                    <pic:cNvPicPr/>
                  </pic:nvPicPr>
                  <pic:blipFill>
                    <a:blip r:embed="rId8">
                      <a:extLst>
                        <a:ext uri="{28A0092B-C50C-407E-A947-70E740481C1C}">
                          <a14:useLocalDpi xmlns:a14="http://schemas.microsoft.com/office/drawing/2010/main" val="0"/>
                        </a:ext>
                      </a:extLst>
                    </a:blip>
                    <a:stretch>
                      <a:fillRect/>
                    </a:stretch>
                  </pic:blipFill>
                  <pic:spPr>
                    <a:xfrm>
                      <a:off x="0" y="0"/>
                      <a:ext cx="2700000" cy="1551600"/>
                    </a:xfrm>
                    <a:prstGeom prst="rect">
                      <a:avLst/>
                    </a:prstGeom>
                  </pic:spPr>
                </pic:pic>
              </a:graphicData>
            </a:graphic>
          </wp:inline>
        </w:drawing>
      </w:r>
      <w:r>
        <w:rPr>
          <w:rFonts w:ascii="Minion Pro" w:hAnsi="Minion Pro"/>
          <w:noProof/>
          <w:szCs w:val="20"/>
        </w:rPr>
        <w:drawing>
          <wp:inline distT="0" distB="0" distL="0" distR="0" wp14:anchorId="2D93671D" wp14:editId="1D167731">
            <wp:extent cx="2700000" cy="1558800"/>
            <wp:effectExtent l="0" t="0" r="571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_MCA_mode3_full.pdf"/>
                    <pic:cNvPicPr/>
                  </pic:nvPicPr>
                  <pic:blipFill>
                    <a:blip r:embed="rId9">
                      <a:extLst>
                        <a:ext uri="{28A0092B-C50C-407E-A947-70E740481C1C}">
                          <a14:useLocalDpi xmlns:a14="http://schemas.microsoft.com/office/drawing/2010/main" val="0"/>
                        </a:ext>
                      </a:extLst>
                    </a:blip>
                    <a:stretch>
                      <a:fillRect/>
                    </a:stretch>
                  </pic:blipFill>
                  <pic:spPr>
                    <a:xfrm>
                      <a:off x="0" y="0"/>
                      <a:ext cx="2700000" cy="1558800"/>
                    </a:xfrm>
                    <a:prstGeom prst="rect">
                      <a:avLst/>
                    </a:prstGeom>
                  </pic:spPr>
                </pic:pic>
              </a:graphicData>
            </a:graphic>
          </wp:inline>
        </w:drawing>
      </w:r>
    </w:p>
    <w:p w14:paraId="2C8547F9" w14:textId="77777777" w:rsidR="00423800" w:rsidRDefault="00A952E3">
      <w:pPr>
        <w:rPr>
          <w:rFonts w:ascii="Arial" w:hAnsi="Arial" w:cs="Arial"/>
          <w:szCs w:val="20"/>
        </w:rPr>
      </w:pPr>
      <w:r w:rsidRPr="009F368E">
        <w:rPr>
          <w:rFonts w:ascii="Arial" w:hAnsi="Arial" w:cs="Arial"/>
          <w:b/>
          <w:szCs w:val="20"/>
        </w:rPr>
        <w:t>Figure 1 |</w:t>
      </w:r>
      <w:r w:rsidRPr="009F368E">
        <w:rPr>
          <w:rFonts w:ascii="Arial" w:hAnsi="Arial" w:cs="Arial"/>
          <w:szCs w:val="20"/>
        </w:rPr>
        <w:t xml:space="preserve"> </w:t>
      </w:r>
      <w:r w:rsidR="00B014FC" w:rsidRPr="009F368E">
        <w:rPr>
          <w:rFonts w:ascii="Arial" w:hAnsi="Arial" w:cs="Arial"/>
          <w:szCs w:val="20"/>
        </w:rPr>
        <w:t xml:space="preserve">Outcome of the MCA showing the three principal modes of covariation of </w:t>
      </w:r>
      <w:r w:rsidRPr="009F368E">
        <w:rPr>
          <w:rFonts w:ascii="Arial" w:hAnsi="Arial" w:cs="Arial"/>
          <w:szCs w:val="20"/>
        </w:rPr>
        <w:t>EKE and SST exceedance in the Agulhas Current</w:t>
      </w:r>
      <w:r w:rsidR="00B014FC" w:rsidRPr="009F368E">
        <w:rPr>
          <w:rFonts w:ascii="Arial" w:hAnsi="Arial" w:cs="Arial"/>
          <w:szCs w:val="20"/>
        </w:rPr>
        <w:t xml:space="preserve">: </w:t>
      </w:r>
      <w:r w:rsidRPr="009F368E">
        <w:rPr>
          <w:rFonts w:ascii="Arial" w:hAnsi="Arial" w:cs="Arial"/>
          <w:szCs w:val="20"/>
        </w:rPr>
        <w:t>(</w:t>
      </w:r>
      <w:r w:rsidRPr="009F368E">
        <w:rPr>
          <w:rFonts w:ascii="Arial" w:hAnsi="Arial" w:cs="Arial"/>
          <w:b/>
          <w:szCs w:val="20"/>
        </w:rPr>
        <w:t>A</w:t>
      </w:r>
      <w:r w:rsidRPr="009F368E">
        <w:rPr>
          <w:rFonts w:ascii="Arial" w:hAnsi="Arial" w:cs="Arial"/>
          <w:szCs w:val="20"/>
        </w:rPr>
        <w:t>) Mode 1, (</w:t>
      </w:r>
      <w:r w:rsidRPr="009F368E">
        <w:rPr>
          <w:rFonts w:ascii="Arial" w:hAnsi="Arial" w:cs="Arial"/>
          <w:b/>
          <w:szCs w:val="20"/>
        </w:rPr>
        <w:t>B</w:t>
      </w:r>
      <w:r w:rsidRPr="009F368E">
        <w:rPr>
          <w:rFonts w:ascii="Arial" w:hAnsi="Arial" w:cs="Arial"/>
          <w:szCs w:val="20"/>
        </w:rPr>
        <w:t>) Mode 2, and (</w:t>
      </w:r>
      <w:r w:rsidRPr="009F368E">
        <w:rPr>
          <w:rFonts w:ascii="Arial" w:hAnsi="Arial" w:cs="Arial"/>
          <w:b/>
          <w:szCs w:val="20"/>
        </w:rPr>
        <w:t>C</w:t>
      </w:r>
      <w:r w:rsidRPr="009F368E">
        <w:rPr>
          <w:rFonts w:ascii="Arial" w:hAnsi="Arial" w:cs="Arial"/>
          <w:szCs w:val="20"/>
        </w:rPr>
        <w:t>) Mode 3</w:t>
      </w:r>
      <w:r w:rsidR="00B014FC" w:rsidRPr="009F368E">
        <w:rPr>
          <w:rFonts w:ascii="Arial" w:hAnsi="Arial" w:cs="Arial"/>
          <w:szCs w:val="20"/>
        </w:rPr>
        <w:t xml:space="preserve">. The panels with filled contours represent the spatial patterns </w:t>
      </w:r>
      <w:r w:rsidR="009036E0">
        <w:rPr>
          <w:rFonts w:ascii="Arial" w:hAnsi="Arial" w:cs="Arial"/>
          <w:szCs w:val="20"/>
        </w:rPr>
        <w:t xml:space="preserve">of variability </w:t>
      </w:r>
      <w:r w:rsidR="00B014FC" w:rsidRPr="009F368E">
        <w:rPr>
          <w:rFonts w:ascii="Arial" w:hAnsi="Arial" w:cs="Arial"/>
          <w:szCs w:val="20"/>
        </w:rPr>
        <w:t xml:space="preserve">of </w:t>
      </w:r>
      <w:r w:rsidR="00333173" w:rsidRPr="009F368E">
        <w:rPr>
          <w:rFonts w:ascii="Arial" w:hAnsi="Arial" w:cs="Arial"/>
          <w:szCs w:val="20"/>
        </w:rPr>
        <w:t xml:space="preserve">EKE and SST exceedance related to the respective modes, and the line plots represent the correlation of the singular values for EKE and SST exceedance. SFC is the squared fraction of covariance, and </w:t>
      </w:r>
      <w:r w:rsidR="00333173" w:rsidRPr="009F368E">
        <w:rPr>
          <w:rFonts w:ascii="Arial" w:hAnsi="Arial" w:cs="Arial"/>
          <w:i/>
          <w:szCs w:val="20"/>
        </w:rPr>
        <w:t>R</w:t>
      </w:r>
      <w:r w:rsidR="00333173" w:rsidRPr="009F368E">
        <w:rPr>
          <w:rFonts w:ascii="Arial" w:hAnsi="Arial" w:cs="Arial"/>
          <w:szCs w:val="20"/>
        </w:rPr>
        <w:t xml:space="preserve"> is the Pearson correlation coefficient</w:t>
      </w:r>
      <w:r w:rsidR="00684A36">
        <w:rPr>
          <w:rFonts w:ascii="Arial" w:hAnsi="Arial" w:cs="Arial"/>
          <w:szCs w:val="20"/>
        </w:rPr>
        <w:t>.</w:t>
      </w:r>
    </w:p>
    <w:p w14:paraId="3D81259D" w14:textId="1E8CDD91" w:rsidR="00423800" w:rsidRDefault="00423800">
      <w:pPr>
        <w:rPr>
          <w:rFonts w:ascii="Arial" w:hAnsi="Arial" w:cs="Arial"/>
          <w:szCs w:val="20"/>
        </w:rPr>
      </w:pPr>
    </w:p>
    <w:p w14:paraId="1D1CBBE0" w14:textId="77777777" w:rsidR="00423800" w:rsidRDefault="00423800">
      <w:pPr>
        <w:rPr>
          <w:rFonts w:ascii="Arial" w:hAnsi="Arial" w:cs="Arial"/>
          <w:szCs w:val="20"/>
        </w:rPr>
      </w:pPr>
    </w:p>
    <w:p w14:paraId="212EDE43" w14:textId="423C87CC" w:rsidR="004E3742" w:rsidRDefault="00501A8D">
      <w:pPr>
        <w:rPr>
          <w:szCs w:val="20"/>
        </w:rPr>
      </w:pPr>
      <w:r>
        <w:rPr>
          <w:noProof/>
          <w:szCs w:val="20"/>
        </w:rPr>
        <w:drawing>
          <wp:inline distT="0" distB="0" distL="0" distR="0" wp14:anchorId="4B323FBF" wp14:editId="2CADAD03">
            <wp:extent cx="2700000" cy="1569600"/>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C_MCA_mode1_full.pdf"/>
                    <pic:cNvPicPr/>
                  </pic:nvPicPr>
                  <pic:blipFill>
                    <a:blip r:embed="rId10">
                      <a:extLst>
                        <a:ext uri="{28A0092B-C50C-407E-A947-70E740481C1C}">
                          <a14:useLocalDpi xmlns:a14="http://schemas.microsoft.com/office/drawing/2010/main" val="0"/>
                        </a:ext>
                      </a:extLst>
                    </a:blip>
                    <a:stretch>
                      <a:fillRect/>
                    </a:stretch>
                  </pic:blipFill>
                  <pic:spPr>
                    <a:xfrm>
                      <a:off x="0" y="0"/>
                      <a:ext cx="2700000" cy="1569600"/>
                    </a:xfrm>
                    <a:prstGeom prst="rect">
                      <a:avLst/>
                    </a:prstGeom>
                  </pic:spPr>
                </pic:pic>
              </a:graphicData>
            </a:graphic>
          </wp:inline>
        </w:drawing>
      </w:r>
      <w:r>
        <w:rPr>
          <w:noProof/>
          <w:szCs w:val="20"/>
        </w:rPr>
        <w:drawing>
          <wp:inline distT="0" distB="0" distL="0" distR="0" wp14:anchorId="6C75E07A" wp14:editId="51B7EC62">
            <wp:extent cx="2700000" cy="1569600"/>
            <wp:effectExtent l="0" t="0" r="571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C_MCA_mode2_full.pdf"/>
                    <pic:cNvPicPr/>
                  </pic:nvPicPr>
                  <pic:blipFill>
                    <a:blip r:embed="rId11">
                      <a:extLst>
                        <a:ext uri="{28A0092B-C50C-407E-A947-70E740481C1C}">
                          <a14:useLocalDpi xmlns:a14="http://schemas.microsoft.com/office/drawing/2010/main" val="0"/>
                        </a:ext>
                      </a:extLst>
                    </a:blip>
                    <a:stretch>
                      <a:fillRect/>
                    </a:stretch>
                  </pic:blipFill>
                  <pic:spPr>
                    <a:xfrm>
                      <a:off x="0" y="0"/>
                      <a:ext cx="2700000" cy="1569600"/>
                    </a:xfrm>
                    <a:prstGeom prst="rect">
                      <a:avLst/>
                    </a:prstGeom>
                  </pic:spPr>
                </pic:pic>
              </a:graphicData>
            </a:graphic>
          </wp:inline>
        </w:drawing>
      </w:r>
      <w:r>
        <w:rPr>
          <w:noProof/>
          <w:szCs w:val="20"/>
        </w:rPr>
        <w:drawing>
          <wp:inline distT="0" distB="0" distL="0" distR="0" wp14:anchorId="273268A4" wp14:editId="53E512A6">
            <wp:extent cx="2700000" cy="1569600"/>
            <wp:effectExtent l="0" t="0" r="571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C_MCA_mode3_full.pdf"/>
                    <pic:cNvPicPr/>
                  </pic:nvPicPr>
                  <pic:blipFill>
                    <a:blip r:embed="rId12">
                      <a:extLst>
                        <a:ext uri="{28A0092B-C50C-407E-A947-70E740481C1C}">
                          <a14:useLocalDpi xmlns:a14="http://schemas.microsoft.com/office/drawing/2010/main" val="0"/>
                        </a:ext>
                      </a:extLst>
                    </a:blip>
                    <a:stretch>
                      <a:fillRect/>
                    </a:stretch>
                  </pic:blipFill>
                  <pic:spPr>
                    <a:xfrm>
                      <a:off x="0" y="0"/>
                      <a:ext cx="2700000" cy="1569600"/>
                    </a:xfrm>
                    <a:prstGeom prst="rect">
                      <a:avLst/>
                    </a:prstGeom>
                  </pic:spPr>
                </pic:pic>
              </a:graphicData>
            </a:graphic>
          </wp:inline>
        </w:drawing>
      </w:r>
    </w:p>
    <w:p w14:paraId="64545E2B" w14:textId="240CF26D" w:rsidR="004E3742" w:rsidRPr="009F368E" w:rsidRDefault="009F368E">
      <w:pPr>
        <w:rPr>
          <w:rFonts w:ascii="Arial" w:hAnsi="Arial" w:cs="Arial"/>
          <w:szCs w:val="20"/>
        </w:rPr>
      </w:pPr>
      <w:r w:rsidRPr="009F368E">
        <w:rPr>
          <w:rFonts w:ascii="Arial" w:hAnsi="Arial" w:cs="Arial"/>
          <w:b/>
          <w:szCs w:val="20"/>
        </w:rPr>
        <w:t>Figure 2 |</w:t>
      </w:r>
      <w:r w:rsidRPr="009F368E">
        <w:rPr>
          <w:rFonts w:ascii="Arial" w:hAnsi="Arial" w:cs="Arial"/>
          <w:szCs w:val="20"/>
        </w:rPr>
        <w:t xml:space="preserve"> As in Figure 1, but for the Brazil Current.</w:t>
      </w:r>
    </w:p>
    <w:p w14:paraId="3060A436" w14:textId="77777777" w:rsidR="009F368E" w:rsidRDefault="009F368E">
      <w:pPr>
        <w:rPr>
          <w:szCs w:val="20"/>
        </w:rPr>
      </w:pPr>
    </w:p>
    <w:p w14:paraId="3B7FAADD" w14:textId="77777777" w:rsidR="009F368E" w:rsidRDefault="009F368E">
      <w:pPr>
        <w:rPr>
          <w:szCs w:val="20"/>
        </w:rPr>
      </w:pPr>
    </w:p>
    <w:p w14:paraId="0552EF14" w14:textId="1E2D34E6" w:rsidR="004E3742" w:rsidRDefault="004E3742">
      <w:pPr>
        <w:rPr>
          <w:szCs w:val="20"/>
        </w:rPr>
      </w:pPr>
    </w:p>
    <w:p w14:paraId="73BC2457" w14:textId="38A7E1E6" w:rsidR="00AC7D24" w:rsidRDefault="00505ECE">
      <w:pPr>
        <w:rPr>
          <w:szCs w:val="20"/>
        </w:rPr>
      </w:pPr>
      <w:r>
        <w:rPr>
          <w:noProof/>
          <w:szCs w:val="20"/>
        </w:rPr>
        <w:lastRenderedPageBreak/>
        <w:drawing>
          <wp:inline distT="0" distB="0" distL="0" distR="0" wp14:anchorId="2FE29E38" wp14:editId="292EDAF7">
            <wp:extent cx="2700000" cy="15768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C_MCA_df_-2006-01-01-2015-12-31-mode1-unfiltered_full.pdf"/>
                    <pic:cNvPicPr/>
                  </pic:nvPicPr>
                  <pic:blipFill>
                    <a:blip r:embed="rId13">
                      <a:extLst>
                        <a:ext uri="{28A0092B-C50C-407E-A947-70E740481C1C}">
                          <a14:useLocalDpi xmlns:a14="http://schemas.microsoft.com/office/drawing/2010/main" val="0"/>
                        </a:ext>
                      </a:extLst>
                    </a:blip>
                    <a:stretch>
                      <a:fillRect/>
                    </a:stretch>
                  </pic:blipFill>
                  <pic:spPr>
                    <a:xfrm>
                      <a:off x="0" y="0"/>
                      <a:ext cx="2700000" cy="1576800"/>
                    </a:xfrm>
                    <a:prstGeom prst="rect">
                      <a:avLst/>
                    </a:prstGeom>
                  </pic:spPr>
                </pic:pic>
              </a:graphicData>
            </a:graphic>
          </wp:inline>
        </w:drawing>
      </w:r>
      <w:r>
        <w:rPr>
          <w:noProof/>
          <w:szCs w:val="20"/>
        </w:rPr>
        <w:drawing>
          <wp:inline distT="0" distB="0" distL="0" distR="0" wp14:anchorId="209554C8" wp14:editId="1A2C76B3">
            <wp:extent cx="2700000" cy="15516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AC_MCA_df_-2006-01-01-2015-12-31-mode2-unfiltered_full.pdf"/>
                    <pic:cNvPicPr/>
                  </pic:nvPicPr>
                  <pic:blipFill>
                    <a:blip r:embed="rId14">
                      <a:extLst>
                        <a:ext uri="{28A0092B-C50C-407E-A947-70E740481C1C}">
                          <a14:useLocalDpi xmlns:a14="http://schemas.microsoft.com/office/drawing/2010/main" val="0"/>
                        </a:ext>
                      </a:extLst>
                    </a:blip>
                    <a:stretch>
                      <a:fillRect/>
                    </a:stretch>
                  </pic:blipFill>
                  <pic:spPr>
                    <a:xfrm>
                      <a:off x="0" y="0"/>
                      <a:ext cx="2700000" cy="1551600"/>
                    </a:xfrm>
                    <a:prstGeom prst="rect">
                      <a:avLst/>
                    </a:prstGeom>
                  </pic:spPr>
                </pic:pic>
              </a:graphicData>
            </a:graphic>
          </wp:inline>
        </w:drawing>
      </w:r>
      <w:r>
        <w:rPr>
          <w:noProof/>
          <w:szCs w:val="20"/>
        </w:rPr>
        <w:drawing>
          <wp:inline distT="0" distB="0" distL="0" distR="0" wp14:anchorId="1B9213A4" wp14:editId="2D7795FC">
            <wp:extent cx="2700000" cy="15516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AC_MCA_df_-2006-01-01-2015-12-31-mode3-unfiltered_full.pdf"/>
                    <pic:cNvPicPr/>
                  </pic:nvPicPr>
                  <pic:blipFill>
                    <a:blip r:embed="rId15">
                      <a:extLst>
                        <a:ext uri="{28A0092B-C50C-407E-A947-70E740481C1C}">
                          <a14:useLocalDpi xmlns:a14="http://schemas.microsoft.com/office/drawing/2010/main" val="0"/>
                        </a:ext>
                      </a:extLst>
                    </a:blip>
                    <a:stretch>
                      <a:fillRect/>
                    </a:stretch>
                  </pic:blipFill>
                  <pic:spPr>
                    <a:xfrm>
                      <a:off x="0" y="0"/>
                      <a:ext cx="2700000" cy="1551600"/>
                    </a:xfrm>
                    <a:prstGeom prst="rect">
                      <a:avLst/>
                    </a:prstGeom>
                  </pic:spPr>
                </pic:pic>
              </a:graphicData>
            </a:graphic>
          </wp:inline>
        </w:drawing>
      </w:r>
    </w:p>
    <w:p w14:paraId="7105349B" w14:textId="77777777" w:rsidR="00423800" w:rsidRDefault="009F368E">
      <w:pPr>
        <w:rPr>
          <w:rFonts w:ascii="Arial" w:hAnsi="Arial" w:cs="Arial"/>
          <w:szCs w:val="20"/>
        </w:rPr>
      </w:pPr>
      <w:r w:rsidRPr="009F368E">
        <w:rPr>
          <w:rFonts w:ascii="Arial" w:hAnsi="Arial" w:cs="Arial"/>
          <w:b/>
          <w:szCs w:val="20"/>
        </w:rPr>
        <w:t>Figure 3 |</w:t>
      </w:r>
      <w:r w:rsidRPr="009F368E">
        <w:rPr>
          <w:rFonts w:ascii="Arial" w:hAnsi="Arial" w:cs="Arial"/>
          <w:szCs w:val="20"/>
        </w:rPr>
        <w:t xml:space="preserve"> As in Figure 1, but for the East Australian Current.</w:t>
      </w:r>
    </w:p>
    <w:p w14:paraId="6040507E" w14:textId="65FB90C9" w:rsidR="004E3742" w:rsidRDefault="004E3742">
      <w:pPr>
        <w:rPr>
          <w:rFonts w:ascii="Arial" w:hAnsi="Arial" w:cs="Arial"/>
          <w:szCs w:val="20"/>
        </w:rPr>
      </w:pPr>
    </w:p>
    <w:p w14:paraId="7EEE56F1" w14:textId="77777777" w:rsidR="00423800" w:rsidRPr="009F368E" w:rsidRDefault="00423800">
      <w:pPr>
        <w:rPr>
          <w:rFonts w:ascii="Arial" w:hAnsi="Arial" w:cs="Arial"/>
          <w:szCs w:val="20"/>
        </w:rPr>
      </w:pPr>
    </w:p>
    <w:p w14:paraId="690A770F" w14:textId="49CB3370" w:rsidR="004E3742" w:rsidRDefault="00501A8D">
      <w:pPr>
        <w:rPr>
          <w:szCs w:val="20"/>
        </w:rPr>
      </w:pPr>
      <w:r>
        <w:rPr>
          <w:noProof/>
          <w:szCs w:val="20"/>
        </w:rPr>
        <w:drawing>
          <wp:inline distT="0" distB="0" distL="0" distR="0" wp14:anchorId="13811CF1" wp14:editId="4414A2B4">
            <wp:extent cx="2700000" cy="1573200"/>
            <wp:effectExtent l="0" t="0" r="571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S_MCA_mode1_full.pdf"/>
                    <pic:cNvPicPr/>
                  </pic:nvPicPr>
                  <pic:blipFill>
                    <a:blip r:embed="rId16">
                      <a:extLst>
                        <a:ext uri="{28A0092B-C50C-407E-A947-70E740481C1C}">
                          <a14:useLocalDpi xmlns:a14="http://schemas.microsoft.com/office/drawing/2010/main" val="0"/>
                        </a:ext>
                      </a:extLst>
                    </a:blip>
                    <a:stretch>
                      <a:fillRect/>
                    </a:stretch>
                  </pic:blipFill>
                  <pic:spPr>
                    <a:xfrm>
                      <a:off x="0" y="0"/>
                      <a:ext cx="2700000" cy="1573200"/>
                    </a:xfrm>
                    <a:prstGeom prst="rect">
                      <a:avLst/>
                    </a:prstGeom>
                  </pic:spPr>
                </pic:pic>
              </a:graphicData>
            </a:graphic>
          </wp:inline>
        </w:drawing>
      </w:r>
      <w:r>
        <w:rPr>
          <w:noProof/>
          <w:szCs w:val="20"/>
        </w:rPr>
        <w:drawing>
          <wp:inline distT="0" distB="0" distL="0" distR="0" wp14:anchorId="6B6B531C" wp14:editId="2DE1315F">
            <wp:extent cx="2700000" cy="1573200"/>
            <wp:effectExtent l="0" t="0" r="571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S_MCA_mode2_full.pdf"/>
                    <pic:cNvPicPr/>
                  </pic:nvPicPr>
                  <pic:blipFill>
                    <a:blip r:embed="rId17">
                      <a:extLst>
                        <a:ext uri="{28A0092B-C50C-407E-A947-70E740481C1C}">
                          <a14:useLocalDpi xmlns:a14="http://schemas.microsoft.com/office/drawing/2010/main" val="0"/>
                        </a:ext>
                      </a:extLst>
                    </a:blip>
                    <a:stretch>
                      <a:fillRect/>
                    </a:stretch>
                  </pic:blipFill>
                  <pic:spPr>
                    <a:xfrm>
                      <a:off x="0" y="0"/>
                      <a:ext cx="2700000" cy="1573200"/>
                    </a:xfrm>
                    <a:prstGeom prst="rect">
                      <a:avLst/>
                    </a:prstGeom>
                  </pic:spPr>
                </pic:pic>
              </a:graphicData>
            </a:graphic>
          </wp:inline>
        </w:drawing>
      </w:r>
      <w:r>
        <w:rPr>
          <w:noProof/>
          <w:szCs w:val="20"/>
        </w:rPr>
        <w:drawing>
          <wp:inline distT="0" distB="0" distL="0" distR="0" wp14:anchorId="23AAB90D" wp14:editId="46AF2A4B">
            <wp:extent cx="2700000" cy="1573200"/>
            <wp:effectExtent l="0" t="0" r="571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S_MCA_mode3_full.pdf"/>
                    <pic:cNvPicPr/>
                  </pic:nvPicPr>
                  <pic:blipFill>
                    <a:blip r:embed="rId18">
                      <a:extLst>
                        <a:ext uri="{28A0092B-C50C-407E-A947-70E740481C1C}">
                          <a14:useLocalDpi xmlns:a14="http://schemas.microsoft.com/office/drawing/2010/main" val="0"/>
                        </a:ext>
                      </a:extLst>
                    </a:blip>
                    <a:stretch>
                      <a:fillRect/>
                    </a:stretch>
                  </pic:blipFill>
                  <pic:spPr>
                    <a:xfrm>
                      <a:off x="0" y="0"/>
                      <a:ext cx="2700000" cy="1573200"/>
                    </a:xfrm>
                    <a:prstGeom prst="rect">
                      <a:avLst/>
                    </a:prstGeom>
                  </pic:spPr>
                </pic:pic>
              </a:graphicData>
            </a:graphic>
          </wp:inline>
        </w:drawing>
      </w:r>
    </w:p>
    <w:p w14:paraId="1129E1E3" w14:textId="75FC0272" w:rsidR="009F368E" w:rsidRPr="009F368E" w:rsidRDefault="009F368E">
      <w:pPr>
        <w:rPr>
          <w:rFonts w:ascii="Arial" w:hAnsi="Arial" w:cs="Arial"/>
          <w:szCs w:val="20"/>
        </w:rPr>
      </w:pPr>
      <w:r w:rsidRPr="009F368E">
        <w:rPr>
          <w:rFonts w:ascii="Arial" w:hAnsi="Arial" w:cs="Arial"/>
          <w:b/>
          <w:szCs w:val="20"/>
        </w:rPr>
        <w:t>Figure 4 |</w:t>
      </w:r>
      <w:r w:rsidRPr="009F368E">
        <w:rPr>
          <w:rFonts w:ascii="Arial" w:hAnsi="Arial" w:cs="Arial"/>
          <w:szCs w:val="20"/>
        </w:rPr>
        <w:t xml:space="preserve"> As in Figure 1, but for the Gulf Stream.</w:t>
      </w:r>
    </w:p>
    <w:p w14:paraId="5A132FAD" w14:textId="77777777" w:rsidR="009F368E" w:rsidRDefault="009F368E">
      <w:pPr>
        <w:rPr>
          <w:szCs w:val="20"/>
        </w:rPr>
      </w:pPr>
    </w:p>
    <w:p w14:paraId="443857BB" w14:textId="48958768" w:rsidR="009F368E" w:rsidRDefault="009F368E">
      <w:pPr>
        <w:rPr>
          <w:szCs w:val="20"/>
        </w:rPr>
      </w:pPr>
    </w:p>
    <w:p w14:paraId="5FB5000C" w14:textId="5C6E5BAE" w:rsidR="004E3742" w:rsidRDefault="00501A8D">
      <w:pPr>
        <w:rPr>
          <w:szCs w:val="20"/>
        </w:rPr>
      </w:pPr>
      <w:r>
        <w:rPr>
          <w:noProof/>
          <w:szCs w:val="20"/>
        </w:rPr>
        <w:lastRenderedPageBreak/>
        <w:drawing>
          <wp:inline distT="0" distB="0" distL="0" distR="0" wp14:anchorId="362C62AF" wp14:editId="7C14CFC2">
            <wp:extent cx="2700000" cy="1573200"/>
            <wp:effectExtent l="0" t="0" r="571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C_MCA_mode1_full.pdf"/>
                    <pic:cNvPicPr/>
                  </pic:nvPicPr>
                  <pic:blipFill>
                    <a:blip r:embed="rId19">
                      <a:extLst>
                        <a:ext uri="{28A0092B-C50C-407E-A947-70E740481C1C}">
                          <a14:useLocalDpi xmlns:a14="http://schemas.microsoft.com/office/drawing/2010/main" val="0"/>
                        </a:ext>
                      </a:extLst>
                    </a:blip>
                    <a:stretch>
                      <a:fillRect/>
                    </a:stretch>
                  </pic:blipFill>
                  <pic:spPr>
                    <a:xfrm>
                      <a:off x="0" y="0"/>
                      <a:ext cx="2700000" cy="1573200"/>
                    </a:xfrm>
                    <a:prstGeom prst="rect">
                      <a:avLst/>
                    </a:prstGeom>
                  </pic:spPr>
                </pic:pic>
              </a:graphicData>
            </a:graphic>
          </wp:inline>
        </w:drawing>
      </w:r>
      <w:r w:rsidR="007D47EC">
        <w:rPr>
          <w:noProof/>
          <w:szCs w:val="20"/>
        </w:rPr>
        <w:drawing>
          <wp:inline distT="0" distB="0" distL="0" distR="0" wp14:anchorId="10C0051F" wp14:editId="325D78B8">
            <wp:extent cx="2700000" cy="1573200"/>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C_MCA_mode2_full.pdf"/>
                    <pic:cNvPicPr/>
                  </pic:nvPicPr>
                  <pic:blipFill>
                    <a:blip r:embed="rId20">
                      <a:extLst>
                        <a:ext uri="{28A0092B-C50C-407E-A947-70E740481C1C}">
                          <a14:useLocalDpi xmlns:a14="http://schemas.microsoft.com/office/drawing/2010/main" val="0"/>
                        </a:ext>
                      </a:extLst>
                    </a:blip>
                    <a:stretch>
                      <a:fillRect/>
                    </a:stretch>
                  </pic:blipFill>
                  <pic:spPr>
                    <a:xfrm>
                      <a:off x="0" y="0"/>
                      <a:ext cx="2700000" cy="1573200"/>
                    </a:xfrm>
                    <a:prstGeom prst="rect">
                      <a:avLst/>
                    </a:prstGeom>
                  </pic:spPr>
                </pic:pic>
              </a:graphicData>
            </a:graphic>
          </wp:inline>
        </w:drawing>
      </w:r>
      <w:r>
        <w:rPr>
          <w:noProof/>
          <w:szCs w:val="20"/>
        </w:rPr>
        <w:drawing>
          <wp:inline distT="0" distB="0" distL="0" distR="0" wp14:anchorId="1804C7F2" wp14:editId="6F79F1A1">
            <wp:extent cx="2700000" cy="1569600"/>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C_MCA_mode3_full.pdf"/>
                    <pic:cNvPicPr/>
                  </pic:nvPicPr>
                  <pic:blipFill>
                    <a:blip r:embed="rId21">
                      <a:extLst>
                        <a:ext uri="{28A0092B-C50C-407E-A947-70E740481C1C}">
                          <a14:useLocalDpi xmlns:a14="http://schemas.microsoft.com/office/drawing/2010/main" val="0"/>
                        </a:ext>
                      </a:extLst>
                    </a:blip>
                    <a:stretch>
                      <a:fillRect/>
                    </a:stretch>
                  </pic:blipFill>
                  <pic:spPr>
                    <a:xfrm>
                      <a:off x="0" y="0"/>
                      <a:ext cx="2700000" cy="1569600"/>
                    </a:xfrm>
                    <a:prstGeom prst="rect">
                      <a:avLst/>
                    </a:prstGeom>
                  </pic:spPr>
                </pic:pic>
              </a:graphicData>
            </a:graphic>
          </wp:inline>
        </w:drawing>
      </w:r>
    </w:p>
    <w:p w14:paraId="5E6FA842" w14:textId="1BC9A3AA" w:rsidR="009F368E" w:rsidRPr="009F368E" w:rsidRDefault="009F368E">
      <w:pPr>
        <w:rPr>
          <w:rFonts w:ascii="Arial" w:hAnsi="Arial" w:cs="Arial"/>
          <w:szCs w:val="20"/>
        </w:rPr>
      </w:pPr>
      <w:r w:rsidRPr="009F368E">
        <w:rPr>
          <w:rFonts w:ascii="Arial" w:hAnsi="Arial" w:cs="Arial"/>
          <w:b/>
          <w:szCs w:val="20"/>
        </w:rPr>
        <w:t>Figure 5 |</w:t>
      </w:r>
      <w:r w:rsidRPr="009F368E">
        <w:rPr>
          <w:rFonts w:ascii="Arial" w:hAnsi="Arial" w:cs="Arial"/>
          <w:szCs w:val="20"/>
        </w:rPr>
        <w:t xml:space="preserve"> As in Figure 1, but for the Kuroshio Current.</w:t>
      </w:r>
    </w:p>
    <w:sectPr w:rsidR="009F368E" w:rsidRPr="009F368E" w:rsidSect="00EE7F93">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J Smit" w:date="2019-05-23T07:53:00Z" w:initials="Office">
    <w:p w14:paraId="4C3410F7" w14:textId="77777777" w:rsidR="00A952E3" w:rsidRDefault="00A952E3" w:rsidP="00A952E3">
      <w:pPr>
        <w:pStyle w:val="CommentText"/>
        <w:ind w:left="0"/>
      </w:pPr>
      <w:r>
        <w:rPr>
          <w:rStyle w:val="CommentReference"/>
        </w:rPr>
        <w:annotationRef/>
      </w:r>
      <w:r>
        <w:t xml:space="preserve">Cite study by </w:t>
      </w:r>
      <w:proofErr w:type="spellStart"/>
      <w:r>
        <w:t>Frankignoul</w:t>
      </w:r>
      <w:proofErr w:type="spellEnd"/>
      <w:r>
        <w:t xml:space="preserve"> et al (2011) that shows the MCA being generally quite robust.</w:t>
      </w:r>
    </w:p>
    <w:p w14:paraId="047BA03C" w14:textId="77777777" w:rsidR="00A952E3" w:rsidRDefault="00A952E3" w:rsidP="00A952E3">
      <w:pPr>
        <w:pStyle w:val="CommentText"/>
        <w:ind w:left="0"/>
      </w:pPr>
    </w:p>
    <w:p w14:paraId="15BEE2BC" w14:textId="77777777" w:rsidR="00A952E3" w:rsidRPr="00636D03" w:rsidRDefault="00A952E3" w:rsidP="00A952E3">
      <w:pPr>
        <w:pStyle w:val="CommentText"/>
        <w:ind w:left="0"/>
      </w:pPr>
      <w:proofErr w:type="spellStart"/>
      <w:r w:rsidRPr="00636D03">
        <w:t>Frankignoul</w:t>
      </w:r>
      <w:proofErr w:type="spellEnd"/>
      <w:r w:rsidRPr="00636D03">
        <w:t xml:space="preserve"> C, </w:t>
      </w:r>
      <w:proofErr w:type="spellStart"/>
      <w:r w:rsidRPr="00636D03">
        <w:t>Chouaib</w:t>
      </w:r>
      <w:proofErr w:type="spellEnd"/>
      <w:r w:rsidRPr="00636D03">
        <w:t xml:space="preserve"> N, Liu ZY (2011) Estimating the observed atmospheric response to SST anomalies: maximum covariance analysis, generalized equilibrium feedback assessment, and maximum response estimation. J </w:t>
      </w:r>
      <w:proofErr w:type="spellStart"/>
      <w:r w:rsidRPr="00636D03">
        <w:t>Clim</w:t>
      </w:r>
      <w:proofErr w:type="spellEnd"/>
      <w:r w:rsidRPr="00636D03">
        <w:t xml:space="preserve"> 24:2523–2539</w:t>
      </w:r>
    </w:p>
    <w:p w14:paraId="570CFDF8" w14:textId="77777777" w:rsidR="00A952E3" w:rsidRDefault="00A952E3" w:rsidP="00A952E3">
      <w:pPr>
        <w:pStyle w:val="CommentText"/>
        <w:ind w:left="0"/>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0CFD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0CFDF8" w16cid:durableId="2090D01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Minion Pro">
    <w:panose1 w:val="02040503050201020203"/>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J Smit">
    <w15:presenceInfo w15:providerId="Windows Live" w15:userId="d5c8c5873f8d91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2E3"/>
    <w:rsid w:val="00167518"/>
    <w:rsid w:val="0031777F"/>
    <w:rsid w:val="00333173"/>
    <w:rsid w:val="003D5327"/>
    <w:rsid w:val="00423800"/>
    <w:rsid w:val="00431046"/>
    <w:rsid w:val="00476D37"/>
    <w:rsid w:val="004A229A"/>
    <w:rsid w:val="004E3742"/>
    <w:rsid w:val="00501A8D"/>
    <w:rsid w:val="00505ECE"/>
    <w:rsid w:val="00684A36"/>
    <w:rsid w:val="006E57C6"/>
    <w:rsid w:val="007D47EC"/>
    <w:rsid w:val="007E08A5"/>
    <w:rsid w:val="009036E0"/>
    <w:rsid w:val="009D51A5"/>
    <w:rsid w:val="009F368E"/>
    <w:rsid w:val="00A66C2B"/>
    <w:rsid w:val="00A952E3"/>
    <w:rsid w:val="00AC7D24"/>
    <w:rsid w:val="00B014FC"/>
    <w:rsid w:val="00E67E67"/>
    <w:rsid w:val="00EE7F93"/>
    <w:rsid w:val="00FA4D1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3E17"/>
  <w15:chartTrackingRefBased/>
  <w15:docId w15:val="{DDBD34F9-5426-7D40-8212-C60CCDD0B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68E"/>
    <w:rPr>
      <w:rFonts w:ascii="Times New Roman" w:hAnsi="Times New Roman"/>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52E3"/>
    <w:rPr>
      <w:rFonts w:cs="Times New Roman"/>
      <w:sz w:val="18"/>
      <w:szCs w:val="18"/>
    </w:rPr>
  </w:style>
  <w:style w:type="character" w:customStyle="1" w:styleId="BalloonTextChar">
    <w:name w:val="Balloon Text Char"/>
    <w:basedOn w:val="DefaultParagraphFont"/>
    <w:link w:val="BalloonText"/>
    <w:uiPriority w:val="99"/>
    <w:semiHidden/>
    <w:rsid w:val="00A952E3"/>
    <w:rPr>
      <w:rFonts w:ascii="Times New Roman" w:hAnsi="Times New Roman" w:cs="Times New Roman"/>
      <w:sz w:val="18"/>
      <w:szCs w:val="18"/>
    </w:rPr>
  </w:style>
  <w:style w:type="character" w:styleId="CommentReference">
    <w:name w:val="annotation reference"/>
    <w:uiPriority w:val="99"/>
    <w:qFormat/>
    <w:rsid w:val="00A952E3"/>
    <w:rPr>
      <w:sz w:val="18"/>
      <w:szCs w:val="18"/>
    </w:rPr>
  </w:style>
  <w:style w:type="paragraph" w:styleId="CommentText">
    <w:name w:val="annotation text"/>
    <w:basedOn w:val="Normal"/>
    <w:link w:val="CommentTextChar"/>
    <w:uiPriority w:val="99"/>
    <w:qFormat/>
    <w:rsid w:val="00A952E3"/>
    <w:pPr>
      <w:spacing w:line="276" w:lineRule="auto"/>
      <w:ind w:left="720"/>
    </w:pPr>
    <w:rPr>
      <w:rFonts w:eastAsia="Times New Roman" w:cs="Times New Roman"/>
      <w:szCs w:val="20"/>
    </w:rPr>
  </w:style>
  <w:style w:type="character" w:customStyle="1" w:styleId="CommentTextChar">
    <w:name w:val="Comment Text Char"/>
    <w:basedOn w:val="DefaultParagraphFont"/>
    <w:link w:val="CommentText"/>
    <w:uiPriority w:val="99"/>
    <w:qFormat/>
    <w:rsid w:val="00A952E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952E3"/>
    <w:pPr>
      <w:spacing w:line="240" w:lineRule="auto"/>
      <w:ind w:left="0"/>
    </w:pPr>
    <w:rPr>
      <w:rFonts w:ascii="Minion Pro" w:eastAsiaTheme="minorHAnsi" w:hAnsi="Minion Pro" w:cstheme="minorBidi"/>
      <w:b/>
      <w:bCs/>
    </w:rPr>
  </w:style>
  <w:style w:type="character" w:customStyle="1" w:styleId="CommentSubjectChar">
    <w:name w:val="Comment Subject Char"/>
    <w:basedOn w:val="CommentTextChar"/>
    <w:link w:val="CommentSubject"/>
    <w:uiPriority w:val="99"/>
    <w:semiHidden/>
    <w:rsid w:val="00A952E3"/>
    <w:rPr>
      <w:rFonts w:ascii="Minion Pro" w:eastAsia="Times New Roman" w:hAnsi="Minion Pro" w:cs="Times New Roman"/>
      <w:b/>
      <w:bCs/>
      <w:sz w:val="20"/>
      <w:szCs w:val="20"/>
    </w:rPr>
  </w:style>
  <w:style w:type="character" w:styleId="PlaceholderText">
    <w:name w:val="Placeholder Text"/>
    <w:basedOn w:val="DefaultParagraphFont"/>
    <w:uiPriority w:val="99"/>
    <w:semiHidden/>
    <w:rsid w:val="00684A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3" Type="http://schemas.openxmlformats.org/officeDocument/2006/relationships/webSettings" Target="webSettings.xml"/><Relationship Id="rId21" Type="http://schemas.openxmlformats.org/officeDocument/2006/relationships/image" Target="media/image15.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5.emf"/><Relationship Id="rId24" Type="http://schemas.openxmlformats.org/officeDocument/2006/relationships/glossaryDocument" Target="glossary/document.xml"/><Relationship Id="rId5" Type="http://schemas.microsoft.com/office/2011/relationships/commentsExtended" Target="commentsExtended.xml"/><Relationship Id="rId15" Type="http://schemas.openxmlformats.org/officeDocument/2006/relationships/image" Target="media/image9.emf"/><Relationship Id="rId23" Type="http://schemas.microsoft.com/office/2011/relationships/people" Target="people.xml"/><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comments" Target="comment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39"/>
        <w:category>
          <w:name w:val="General"/>
          <w:gallery w:val="placeholder"/>
        </w:category>
        <w:types>
          <w:type w:val="bbPlcHdr"/>
        </w:types>
        <w:behaviors>
          <w:behavior w:val="content"/>
        </w:behaviors>
        <w:guid w:val="{D91A91BD-AB13-7A4C-B648-206CD47B3ED4}"/>
      </w:docPartPr>
      <w:docPartBody>
        <w:p w:rsidR="00F77351" w:rsidRDefault="00FC0C4C">
          <w:r w:rsidRPr="000C2275">
            <w:rPr>
              <w:rStyle w:val="PlaceholderText"/>
            </w:rPr>
            <w:t>Add a description. Press tab when you're done.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Minion Pro">
    <w:panose1 w:val="02040503050201020203"/>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C4C"/>
    <w:rsid w:val="0002783E"/>
    <w:rsid w:val="000657DC"/>
    <w:rsid w:val="008451BE"/>
    <w:rsid w:val="00F77351"/>
    <w:rsid w:val="00FC0C4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0C4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4</Pages>
  <Words>703</Words>
  <Characters>4012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UWC</Company>
  <LinksUpToDate>false</LinksUpToDate>
  <CharactersWithSpaces>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 Smit</dc:creator>
  <cp:keywords/>
  <dc:description/>
  <cp:lastModifiedBy>AJ Smit</cp:lastModifiedBy>
  <cp:revision>5</cp:revision>
  <dcterms:created xsi:type="dcterms:W3CDTF">2019-06-29T08:07:00Z</dcterms:created>
  <dcterms:modified xsi:type="dcterms:W3CDTF">2019-07-04T05:22:00Z</dcterms:modified>
</cp:coreProperties>
</file>